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88" w:rsidRPr="008D1188" w:rsidRDefault="008D1188" w:rsidP="008D1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b/>
          <w:sz w:val="28"/>
          <w:szCs w:val="28"/>
          <w:lang w:val="uk-UA"/>
        </w:rPr>
        <w:t>ПАМ’ЯТКА батькам,</w:t>
      </w:r>
    </w:p>
    <w:p w:rsidR="008D1188" w:rsidRPr="008D1188" w:rsidRDefault="008D1188" w:rsidP="008D118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планують здійснити благодійний внесок до навчального закладу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1. Благодійна діяльність регламентується законодавчими актами та нормативними документами (перелік додається).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2. Благодійні внески можуть бути виключно добровільними! Допомагати навчальному закладу чи ні – це Ваше особисте рішення. Ніхто не може контролювати здійснення Вами благодійної допомоги.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3. Благодійні внески у вигляді коштів не можуть прийматися працівниками навчального закладу, окрім бухгалтера у навчальних закладах, що ведуть самостійний бухгалтерський облік.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 xml:space="preserve">4. Переказ благодійних внесків Ви можете здійснити на спеціальний розрахунковий рахунок навчального закладу, що розміщений на інформаційному стенді та на сайті навчального закладу, через каси банку, </w:t>
      </w:r>
      <w:proofErr w:type="spellStart"/>
      <w:r w:rsidRPr="008D1188">
        <w:rPr>
          <w:rFonts w:ascii="Times New Roman" w:hAnsi="Times New Roman" w:cs="Times New Roman"/>
          <w:sz w:val="28"/>
          <w:szCs w:val="28"/>
          <w:lang w:val="uk-UA"/>
        </w:rPr>
        <w:t>інтернет-банкінг</w:t>
      </w:r>
      <w:proofErr w:type="spellEnd"/>
      <w:r w:rsidRPr="008D1188">
        <w:rPr>
          <w:rFonts w:ascii="Times New Roman" w:hAnsi="Times New Roman" w:cs="Times New Roman"/>
          <w:sz w:val="28"/>
          <w:szCs w:val="28"/>
          <w:lang w:val="uk-UA"/>
        </w:rPr>
        <w:t xml:space="preserve">, платіжні системи тощо. У будь-якому обраному Вами варіанті обов’язковим є відповідне оформлення у бухгалтерському обліку.  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5. Якщо благодійний внесок робиться у грошовій формі слід зазначати цілі, на які внесок призначається (обговорений на засіданні Ради навчального закладу трирічний план розвитку матеріально-технічної бази навчального закладу розміщений на сайті навчального закладу). Якщо благодійник не вказує цілі, то керівник навчального закладу може направити благодійні кошти на першочергові потреби, пов’язані виключно з основною діяльністю.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6. Благодійник має право здійснювати контроль за цільовим використанням благодійних внесків, у тому числі шляхом отримання інформації на письмовий запит, участі в загальних зборах батьків, де вирішуються питання надання благодійної допомоги та/чи заслуховується звіт батьківського комітету (ради) про використання благодійної допомоги. Ви можете вимагати позачергові звіти батьківських комітетів (рад) про використання благодійної допомоги.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7. Благодійник має право отримувати звіт про використання внесків.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8. Щомісячний звіт адміністрації навчального закладу щодо залучення та використання благодійних внесків у рекомендованій Департаментом освіти формі повинен розміщуватися на сайті та інформаційному стенді навчального закладу.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lastRenderedPageBreak/>
        <w:t>9. Ви маєте знати про обов’язковість щорічного звітування керівника навчального закладу на загальних зборах (конференціях) педагогічного колективу, батьківського комітету, ради, піклувальної ради та громадськості.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 xml:space="preserve">10. У разі примусового збору коштів, фактів дискримінації дітей  або порушення вимог діючого законодавства України Ви завжди можете звернутися за Телефонами Довіри до Департаменту освіти Харківської міської ради (725-25-01), громадських приймалень депутатів Харківської міської ради 7 скликання (номери телефонів розміщені на офіційному сайті Харківської міської ради, міського голови, виконавчого комітету </w:t>
      </w:r>
      <w:hyperlink r:id="rId5" w:history="1">
        <w:r w:rsidRPr="008D118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http://www.city.kharkov.ua</w:t>
        </w:r>
      </w:hyperlink>
      <w:r w:rsidRPr="008D1188">
        <w:rPr>
          <w:rFonts w:ascii="Times New Roman" w:hAnsi="Times New Roman" w:cs="Times New Roman"/>
          <w:sz w:val="28"/>
          <w:szCs w:val="28"/>
          <w:lang w:val="uk-UA"/>
        </w:rPr>
        <w:t xml:space="preserve"> або управлінь освіти адміністрацій районів Харківської міської ради.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4"/>
        <w:gridCol w:w="2275"/>
      </w:tblGrid>
      <w:tr w:rsidR="008D1188" w:rsidRPr="008D1188" w:rsidTr="004724EC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8" w:rsidRPr="008D1188" w:rsidRDefault="008D1188" w:rsidP="004724E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8D1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Немишлянський</w:t>
            </w:r>
            <w:proofErr w:type="spellEnd"/>
            <w:r w:rsidRPr="008D1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8" w:rsidRPr="008D1188" w:rsidRDefault="008D1188" w:rsidP="004724E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D1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392-02-41</w:t>
            </w:r>
          </w:p>
        </w:tc>
      </w:tr>
    </w:tbl>
    <w:p w:rsidR="008D1188" w:rsidRPr="008D1188" w:rsidRDefault="008D1188" w:rsidP="008D1188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8D1188" w:rsidRPr="008D1188" w:rsidRDefault="008D1188" w:rsidP="008D118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b/>
          <w:sz w:val="28"/>
          <w:szCs w:val="28"/>
          <w:lang w:val="uk-UA"/>
        </w:rPr>
        <w:t>Необхідний перелік нормативних документів</w:t>
      </w:r>
    </w:p>
    <w:p w:rsidR="008D1188" w:rsidRPr="008D1188" w:rsidRDefault="008D1188" w:rsidP="008D11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88" w:rsidRPr="008D1188" w:rsidRDefault="008D1188" w:rsidP="008D11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України, Цивільний кодекс України, Бюджетний кодекс України; </w:t>
      </w:r>
    </w:p>
    <w:p w:rsidR="008D1188" w:rsidRPr="008D1188" w:rsidRDefault="008D1188" w:rsidP="008D118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88" w:rsidRPr="008D1188" w:rsidRDefault="008D1188" w:rsidP="008D11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закони України «Про освіту», «Про загальну середню освіту», «Про дошкільну освіту», «Про благодійну діяльність та благодійні організації», «Про бухгалтерський  облік  та  фінансову звітність в Україні»;</w:t>
      </w:r>
    </w:p>
    <w:p w:rsidR="008D1188" w:rsidRPr="008D1188" w:rsidRDefault="008D1188" w:rsidP="008D118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88" w:rsidRPr="008D1188" w:rsidRDefault="008D1188" w:rsidP="008D11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04.08.2000 № 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фінансування»; від 17.08.1998 № 1295 «Про затвердження Порядку розподілу товарів, отриманих як благодійна допомога, та контролю  за цільовим розподілом благодійної допомоги у  вигляді наданих послуг або виконаних робіт»;</w:t>
      </w:r>
    </w:p>
    <w:p w:rsidR="008D1188" w:rsidRPr="008D1188" w:rsidRDefault="008D1188" w:rsidP="008D118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88" w:rsidRPr="008D1188" w:rsidRDefault="008D1188" w:rsidP="008D11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 xml:space="preserve">накази Міністерства фінансів України від 25.09.2015 № 840 «Про затвердження Змін до деяких Методичних рекомендацій з бухгалтерського обліку для суб’єктів державного сектору»; від 12.10.2010 № 1202 «Про затвердження Національних положень (стандартів) </w:t>
      </w:r>
      <w:r w:rsidRPr="008D1188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бухгалтерського обліку (НП(С)БО) в державному секторі 121 «Основні засоби» та 123 «Запаси»»; від 26.06.2013 № 611 «Про затвердження плану рахунків бухгалтерського обліку бюджетних установ та Порядок його застосування» та «Про затвердження Типової кореспонденції субрахунків бухгалтерського обліку для відображення операцій з активами, капіталом та зобов’язаннями бюджетних установ»;</w:t>
      </w:r>
    </w:p>
    <w:p w:rsidR="008D1188" w:rsidRPr="008D1188" w:rsidRDefault="008D1188" w:rsidP="008D118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88" w:rsidRPr="008D1188" w:rsidRDefault="008D1188" w:rsidP="008D11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02.06.2004  № 440 «Про затвердження Примірного положення про батьківські комітети (ради) загальноосвітнього навчального закладу»;</w:t>
      </w:r>
    </w:p>
    <w:p w:rsidR="008D1188" w:rsidRPr="008D1188" w:rsidRDefault="008D1188" w:rsidP="008D11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науки, молоді та спорту України від 26.04.2011 № 398 «Про затвердження Примірного положення про батьківські комітети (раду) дошкільного навчального закладу»;</w:t>
      </w:r>
    </w:p>
    <w:p w:rsidR="008D1188" w:rsidRPr="008D1188" w:rsidRDefault="008D1188" w:rsidP="008D118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88" w:rsidRPr="008D1188" w:rsidRDefault="008D1188" w:rsidP="008D11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sz w:val="28"/>
          <w:szCs w:val="28"/>
          <w:lang w:val="uk-UA"/>
        </w:rPr>
        <w:t xml:space="preserve">листи Міністерства освіти і науки України від </w:t>
      </w:r>
      <w:r w:rsidRPr="008D118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28.04.2010 № 1/9-290 </w:t>
      </w:r>
      <w:hyperlink r:id="rId6" w:history="1">
        <w:r w:rsidRPr="008D1188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uk-UA"/>
          </w:rPr>
          <w:t xml:space="preserve">«Щодо здійснення  благодійних та спонсорських внесків»; від </w:t>
        </w:r>
      </w:hyperlink>
      <w:r w:rsidRPr="008D1188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Pr="008D1188">
        <w:rPr>
          <w:rFonts w:ascii="Times New Roman" w:hAnsi="Times New Roman" w:cs="Times New Roman"/>
          <w:sz w:val="28"/>
          <w:szCs w:val="28"/>
          <w:lang w:val="uk-UA"/>
        </w:rPr>
        <w:t xml:space="preserve">5.04.2011 № 1/9-289 «Щодо оприлюднення інформації про використання благодійних та спонсорських внесків»; від 05.09.2013 № 1/9-608 «Щодо благодійних внесків»; </w:t>
      </w:r>
      <w:r w:rsidRPr="008D118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 28.11.2013 № 1/9-848 </w:t>
      </w:r>
      <w:hyperlink r:id="rId7" w:history="1">
        <w:r w:rsidRPr="008D1188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uk-UA"/>
          </w:rPr>
          <w:t>«Про організацію благодійних фондів у загальноосвітніх навчальних закладах</w:t>
        </w:r>
      </w:hyperlink>
      <w:r w:rsidRPr="008D1188">
        <w:rPr>
          <w:rFonts w:ascii="Times New Roman" w:hAnsi="Times New Roman" w:cs="Times New Roman"/>
          <w:iCs/>
          <w:sz w:val="28"/>
          <w:szCs w:val="28"/>
          <w:lang w:val="uk-UA"/>
        </w:rPr>
        <w:t>»;</w:t>
      </w:r>
    </w:p>
    <w:p w:rsidR="008D1188" w:rsidRPr="008D1188" w:rsidRDefault="008D1188" w:rsidP="008D11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листи Міністерства освіти і науки, молоді та спорту України від  15.04.2011 №1/9-289 </w:t>
      </w:r>
      <w:r w:rsidRPr="008D1188">
        <w:rPr>
          <w:rFonts w:ascii="Times New Roman" w:hAnsi="Times New Roman" w:cs="Times New Roman"/>
          <w:sz w:val="28"/>
          <w:szCs w:val="28"/>
          <w:lang w:val="uk-UA"/>
        </w:rPr>
        <w:t>«Щодо оприлюднення інформації про використання благодійних та спонсорських внесків»</w:t>
      </w:r>
      <w:r w:rsidRPr="008D118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Pr="008D1188">
        <w:rPr>
          <w:rFonts w:ascii="Times New Roman" w:hAnsi="Times New Roman" w:cs="Times New Roman"/>
          <w:sz w:val="28"/>
          <w:szCs w:val="28"/>
          <w:lang w:val="uk-UA"/>
        </w:rPr>
        <w:t>від 09.04.2012 № 1/9-272 «Щодо благодійних внесків».</w:t>
      </w:r>
    </w:p>
    <w:p w:rsidR="008D1188" w:rsidRPr="008D1188" w:rsidRDefault="008D1188" w:rsidP="008D1188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Роз’яснення щодо інструментів благодійності</w:t>
      </w:r>
    </w:p>
    <w:p w:rsidR="008D1188" w:rsidRPr="008D1188" w:rsidRDefault="008D1188" w:rsidP="008D1188">
      <w:pPr>
        <w:ind w:left="72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8D1188" w:rsidRPr="008D1188" w:rsidRDefault="008D1188" w:rsidP="008D11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bookmarkStart w:id="0" w:name="n3"/>
      <w:bookmarkEnd w:id="0"/>
      <w:r w:rsidRPr="008D1188">
        <w:rPr>
          <w:b/>
          <w:sz w:val="28"/>
          <w:szCs w:val="28"/>
          <w:lang w:val="uk-UA"/>
        </w:rPr>
        <w:t>Види благодійної діяльності</w:t>
      </w:r>
    </w:p>
    <w:p w:rsidR="008D1188" w:rsidRPr="008D1188" w:rsidRDefault="008D1188" w:rsidP="008D11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8D1188" w:rsidRPr="008D1188" w:rsidRDefault="008D1188" w:rsidP="008D11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" w:name="n42"/>
      <w:bookmarkEnd w:id="1"/>
      <w:r w:rsidRPr="008D1188">
        <w:rPr>
          <w:sz w:val="28"/>
          <w:szCs w:val="28"/>
          <w:lang w:val="uk-UA"/>
        </w:rPr>
        <w:t>Благодійники спільно чи індивідуально можуть здійснювати благодійну діяльність на підставі добровільного вибору одного або кількох таких її видів:</w:t>
      </w:r>
    </w:p>
    <w:p w:rsidR="008D1188" w:rsidRPr="008D1188" w:rsidRDefault="008D1188" w:rsidP="008D11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2" w:name="n43"/>
      <w:bookmarkEnd w:id="2"/>
      <w:r w:rsidRPr="008D1188">
        <w:rPr>
          <w:sz w:val="28"/>
          <w:szCs w:val="28"/>
          <w:lang w:val="uk-UA"/>
        </w:rPr>
        <w:t xml:space="preserve">1) безоплатна передача у власність </w:t>
      </w:r>
      <w:proofErr w:type="spellStart"/>
      <w:r w:rsidRPr="008D1188">
        <w:rPr>
          <w:sz w:val="28"/>
          <w:szCs w:val="28"/>
          <w:lang w:val="uk-UA"/>
        </w:rPr>
        <w:t>бенефіціарів</w:t>
      </w:r>
      <w:proofErr w:type="spellEnd"/>
      <w:r w:rsidRPr="008D1188">
        <w:rPr>
          <w:sz w:val="28"/>
          <w:szCs w:val="28"/>
          <w:lang w:val="uk-UA"/>
        </w:rPr>
        <w:t xml:space="preserve"> коштів, іншого майна, а також безоплатне відступлення </w:t>
      </w:r>
      <w:proofErr w:type="spellStart"/>
      <w:r w:rsidRPr="008D1188">
        <w:rPr>
          <w:sz w:val="28"/>
          <w:szCs w:val="28"/>
          <w:lang w:val="uk-UA"/>
        </w:rPr>
        <w:t>бенефіціарам</w:t>
      </w:r>
      <w:proofErr w:type="spellEnd"/>
      <w:r w:rsidRPr="008D1188">
        <w:rPr>
          <w:sz w:val="28"/>
          <w:szCs w:val="28"/>
          <w:lang w:val="uk-UA"/>
        </w:rPr>
        <w:t xml:space="preserve"> майнових прав;</w:t>
      </w: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3" w:name="n44"/>
      <w:bookmarkEnd w:id="3"/>
      <w:r w:rsidRPr="008D1188">
        <w:rPr>
          <w:sz w:val="28"/>
          <w:szCs w:val="28"/>
          <w:lang w:val="uk-UA"/>
        </w:rPr>
        <w:t xml:space="preserve">2) безоплатна передача </w:t>
      </w:r>
      <w:proofErr w:type="spellStart"/>
      <w:r w:rsidRPr="008D1188">
        <w:rPr>
          <w:sz w:val="28"/>
          <w:szCs w:val="28"/>
          <w:lang w:val="uk-UA"/>
        </w:rPr>
        <w:t>бенефіціарам</w:t>
      </w:r>
      <w:proofErr w:type="spellEnd"/>
      <w:r w:rsidRPr="008D1188">
        <w:rPr>
          <w:sz w:val="28"/>
          <w:szCs w:val="28"/>
          <w:lang w:val="uk-UA"/>
        </w:rPr>
        <w:t xml:space="preserve"> права користування та інших речових прав на майно і майнові права;</w:t>
      </w: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4" w:name="n45"/>
      <w:bookmarkEnd w:id="4"/>
      <w:r w:rsidRPr="008D1188">
        <w:rPr>
          <w:sz w:val="28"/>
          <w:szCs w:val="28"/>
          <w:lang w:val="uk-UA"/>
        </w:rPr>
        <w:t xml:space="preserve">3) безоплатна передача </w:t>
      </w:r>
      <w:proofErr w:type="spellStart"/>
      <w:r w:rsidRPr="008D1188">
        <w:rPr>
          <w:sz w:val="28"/>
          <w:szCs w:val="28"/>
          <w:lang w:val="uk-UA"/>
        </w:rPr>
        <w:t>бенефіціарам</w:t>
      </w:r>
      <w:proofErr w:type="spellEnd"/>
      <w:r w:rsidRPr="008D1188">
        <w:rPr>
          <w:sz w:val="28"/>
          <w:szCs w:val="28"/>
          <w:lang w:val="uk-UA"/>
        </w:rPr>
        <w:t xml:space="preserve"> доходів від майна і майнових прав;</w:t>
      </w: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5" w:name="n46"/>
      <w:bookmarkEnd w:id="5"/>
      <w:r w:rsidRPr="008D1188">
        <w:rPr>
          <w:sz w:val="28"/>
          <w:szCs w:val="28"/>
          <w:lang w:val="uk-UA"/>
        </w:rPr>
        <w:t xml:space="preserve">4) безоплатне надання послуг та виконання робіт на користь </w:t>
      </w:r>
      <w:proofErr w:type="spellStart"/>
      <w:r w:rsidRPr="008D1188">
        <w:rPr>
          <w:sz w:val="28"/>
          <w:szCs w:val="28"/>
          <w:lang w:val="uk-UA"/>
        </w:rPr>
        <w:t>бенефіціарів</w:t>
      </w:r>
      <w:proofErr w:type="spellEnd"/>
      <w:r w:rsidRPr="008D1188">
        <w:rPr>
          <w:sz w:val="28"/>
          <w:szCs w:val="28"/>
          <w:lang w:val="uk-UA"/>
        </w:rPr>
        <w:t>;</w:t>
      </w: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6" w:name="n47"/>
      <w:bookmarkEnd w:id="6"/>
      <w:r w:rsidRPr="008D1188">
        <w:rPr>
          <w:sz w:val="28"/>
          <w:szCs w:val="28"/>
          <w:lang w:val="uk-UA"/>
        </w:rPr>
        <w:t>5) благодійна спільна діяльність та виконання інших контрактів (договорів) про благодійну діяльність;</w:t>
      </w: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7" w:name="n48"/>
      <w:bookmarkEnd w:id="7"/>
      <w:r w:rsidRPr="008D1188">
        <w:rPr>
          <w:sz w:val="28"/>
          <w:szCs w:val="28"/>
          <w:lang w:val="uk-UA"/>
        </w:rPr>
        <w:lastRenderedPageBreak/>
        <w:t>6) публічний збір благодійних пожертв;</w:t>
      </w: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8" w:name="n49"/>
      <w:bookmarkEnd w:id="8"/>
      <w:r w:rsidRPr="008D1188">
        <w:rPr>
          <w:sz w:val="28"/>
          <w:szCs w:val="28"/>
          <w:lang w:val="uk-UA"/>
        </w:rPr>
        <w:t xml:space="preserve">7) управління благодійними </w:t>
      </w:r>
      <w:proofErr w:type="spellStart"/>
      <w:r w:rsidRPr="008D1188">
        <w:rPr>
          <w:sz w:val="28"/>
          <w:szCs w:val="28"/>
          <w:lang w:val="uk-UA"/>
        </w:rPr>
        <w:t>ендавментами</w:t>
      </w:r>
      <w:proofErr w:type="spellEnd"/>
      <w:r w:rsidRPr="008D1188">
        <w:rPr>
          <w:sz w:val="28"/>
          <w:szCs w:val="28"/>
          <w:lang w:val="uk-UA"/>
        </w:rPr>
        <w:t>;</w:t>
      </w: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9" w:name="n50"/>
      <w:bookmarkEnd w:id="9"/>
      <w:r w:rsidRPr="008D1188">
        <w:rPr>
          <w:sz w:val="28"/>
          <w:szCs w:val="28"/>
          <w:lang w:val="uk-UA"/>
        </w:rPr>
        <w:t>8) виконання заповітів, заповідальних відказів і спадкових договорів для благодійної діяльності;</w:t>
      </w:r>
    </w:p>
    <w:p w:rsidR="008D1188" w:rsidRPr="008D1188" w:rsidRDefault="008D1188" w:rsidP="008D11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10" w:name="n51"/>
      <w:bookmarkEnd w:id="10"/>
      <w:r w:rsidRPr="008D1188">
        <w:rPr>
          <w:sz w:val="28"/>
          <w:szCs w:val="28"/>
          <w:lang w:val="uk-UA"/>
        </w:rPr>
        <w:t xml:space="preserve">9) проведення благодійних аукціонів, </w:t>
      </w:r>
      <w:proofErr w:type="spellStart"/>
      <w:r w:rsidRPr="008D1188">
        <w:rPr>
          <w:sz w:val="28"/>
          <w:szCs w:val="28"/>
          <w:lang w:val="uk-UA"/>
        </w:rPr>
        <w:t>негрошових</w:t>
      </w:r>
      <w:proofErr w:type="spellEnd"/>
      <w:r w:rsidRPr="008D1188">
        <w:rPr>
          <w:sz w:val="28"/>
          <w:szCs w:val="28"/>
          <w:lang w:val="uk-UA"/>
        </w:rPr>
        <w:t xml:space="preserve"> лотерей, конкурсів та інших благодійних заходів, не заборонених законом.</w:t>
      </w:r>
    </w:p>
    <w:p w:rsidR="008D1188" w:rsidRPr="008D1188" w:rsidRDefault="008D1188" w:rsidP="008D11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D1188" w:rsidRPr="008D1188" w:rsidRDefault="008D1188" w:rsidP="008D1188">
      <w:pPr>
        <w:shd w:val="clear" w:color="auto" w:fill="FFFFFF"/>
        <w:ind w:right="-2" w:firstLine="709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8D1188">
        <w:rPr>
          <w:rStyle w:val="rvts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Стаття 5.</w:t>
      </w:r>
      <w:r w:rsidRPr="008D118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8D11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</w:p>
    <w:p w:rsidR="008D1188" w:rsidRPr="008D1188" w:rsidRDefault="008D1188" w:rsidP="008D1188">
      <w:pPr>
        <w:shd w:val="clear" w:color="auto" w:fill="FFFFFF"/>
        <w:ind w:right="-2" w:firstLine="709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8D11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«Про благодійну діяльність </w:t>
      </w:r>
    </w:p>
    <w:p w:rsidR="008D1188" w:rsidRPr="008D1188" w:rsidRDefault="008D1188" w:rsidP="008D1188">
      <w:pPr>
        <w:shd w:val="clear" w:color="auto" w:fill="FFFFFF"/>
        <w:ind w:right="-2" w:firstLine="709"/>
        <w:jc w:val="righ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та благодійні організації» </w:t>
      </w:r>
    </w:p>
    <w:p w:rsidR="008D1188" w:rsidRPr="008D1188" w:rsidRDefault="008D1188" w:rsidP="008D1188">
      <w:pPr>
        <w:ind w:left="7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</w:p>
    <w:p w:rsidR="008D1188" w:rsidRPr="008D1188" w:rsidRDefault="008D1188" w:rsidP="008D118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Банківський </w:t>
      </w:r>
      <w:proofErr w:type="spellStart"/>
      <w:r w:rsidRPr="008D11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ендавмент</w:t>
      </w:r>
      <w:proofErr w:type="spellEnd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«</w:t>
      </w:r>
      <w:proofErr w:type="spellStart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Ендавмент</w:t>
      </w:r>
      <w:proofErr w:type="spellEnd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означає суму коштів або цінних паперів, які вносяться благодійником у банк або небанківську фінансову установу, завдяки чому набувач благодійної допомоги отримує право на використання процентів або дивідендів, нарахованих на суму такого </w:t>
      </w:r>
      <w:proofErr w:type="spellStart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ендавменту</w:t>
      </w:r>
      <w:proofErr w:type="spellEnd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При цьому такий набувач (</w:t>
      </w:r>
      <w:proofErr w:type="spellStart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бенефіціар</w:t>
      </w:r>
      <w:proofErr w:type="spellEnd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не має права витрачати або відчужувати основну суму такого </w:t>
      </w:r>
      <w:proofErr w:type="spellStart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ендавменту</w:t>
      </w:r>
      <w:proofErr w:type="spellEnd"/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 згоди благодійника.</w:t>
      </w:r>
    </w:p>
    <w:p w:rsidR="008D1188" w:rsidRPr="008D1188" w:rsidRDefault="008D1188" w:rsidP="008D11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1188" w:rsidRPr="008D1188" w:rsidRDefault="008D1188" w:rsidP="008D11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11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Платіжна система</w:t>
      </w:r>
      <w:r w:rsidRPr="008D11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платіжна організація, учасники платіжної системи та сукупність відносин, що виникають між ними при проведенні переказу коштів. Проведення переказу коштів є обов'язковою функцією, що має виконувати платіжна система. </w:t>
      </w:r>
      <w:r w:rsidRPr="008D1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Платіжна система не є фінансовим агентом, тому всі фінансові дані щодо платіжних реквізитів карток вводяться виключно на стороні банків, що є найкращою гарантією безпеки платіжних даних. Для передачі всіх інших даних використовується шифрований протокол SSL.</w:t>
      </w:r>
    </w:p>
    <w:p w:rsidR="008D1188" w:rsidRPr="008D1188" w:rsidRDefault="008D1188" w:rsidP="008D11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1188" w:rsidRPr="008D1188" w:rsidRDefault="008D1188" w:rsidP="008D11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C5E" w:rsidRPr="008D1188" w:rsidRDefault="00167C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7C5E" w:rsidRPr="008D1188" w:rsidSect="0090180F">
      <w:headerReference w:type="even" r:id="rId8"/>
      <w:headerReference w:type="default" r:id="rId9"/>
      <w:pgSz w:w="11906" w:h="16838" w:code="9"/>
      <w:pgMar w:top="1134" w:right="851" w:bottom="1134" w:left="1701" w:header="624" w:footer="624" w:gutter="0"/>
      <w:cols w:space="720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C1" w:rsidRDefault="00167C5E" w:rsidP="00773BF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BC1" w:rsidRDefault="00167C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C1" w:rsidRDefault="00167C5E" w:rsidP="00773BF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1188">
      <w:rPr>
        <w:rStyle w:val="a6"/>
        <w:noProof/>
      </w:rPr>
      <w:t>4</w:t>
    </w:r>
    <w:r>
      <w:rPr>
        <w:rStyle w:val="a6"/>
      </w:rPr>
      <w:fldChar w:fldCharType="end"/>
    </w:r>
  </w:p>
  <w:p w:rsidR="00976BC1" w:rsidRDefault="00167C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B2"/>
    <w:multiLevelType w:val="hybridMultilevel"/>
    <w:tmpl w:val="C0A88C98"/>
    <w:lvl w:ilvl="0" w:tplc="24B21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EC53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285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7C6E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68B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43E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E7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A5D3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FEEFE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88"/>
    <w:rsid w:val="00167C5E"/>
    <w:rsid w:val="008D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118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8D1188"/>
    <w:rPr>
      <w:color w:val="0000FF"/>
      <w:u w:val="single"/>
    </w:rPr>
  </w:style>
  <w:style w:type="character" w:styleId="a6">
    <w:name w:val="page number"/>
    <w:basedOn w:val="a0"/>
    <w:rsid w:val="008D1188"/>
  </w:style>
  <w:style w:type="paragraph" w:customStyle="1" w:styleId="rvps2">
    <w:name w:val="rvps2"/>
    <w:basedOn w:val="a"/>
    <w:rsid w:val="008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D1188"/>
  </w:style>
  <w:style w:type="character" w:customStyle="1" w:styleId="rvts9">
    <w:name w:val="rvts9"/>
    <w:rsid w:val="008D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prvo.ck.ua/upload/files/94_1_9-84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prvo.ck.ua/upload/files/1-9-290%281%2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.khark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6336</Characters>
  <Application>Microsoft Office Word</Application>
  <DocSecurity>0</DocSecurity>
  <Lines>52</Lines>
  <Paragraphs>14</Paragraphs>
  <ScaleCrop>false</ScaleCrop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2016-10-31T08:35:00Z</dcterms:created>
  <dcterms:modified xsi:type="dcterms:W3CDTF">2016-10-31T08:36:00Z</dcterms:modified>
</cp:coreProperties>
</file>